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b/>
          <w:bCs/>
          <w:color w:val="475156"/>
          <w:sz w:val="22"/>
          <w:szCs w:val="22"/>
          <w:u w:color="475156"/>
          <w:lang w:val="hu-HU"/>
        </w:rPr>
      </w:pPr>
      <w:r w:rsidRPr="009B51ED">
        <w:rPr>
          <w:rFonts w:ascii="Helvetica" w:hAnsi="Helvetica"/>
          <w:b/>
          <w:bCs/>
          <w:color w:val="475156"/>
          <w:sz w:val="22"/>
          <w:szCs w:val="22"/>
          <w:u w:color="475156"/>
          <w:lang w:val="hu-HU"/>
        </w:rPr>
        <w:t xml:space="preserve">A </w:t>
      </w:r>
      <w:proofErr w:type="spellStart"/>
      <w:r w:rsidRPr="009B51ED">
        <w:rPr>
          <w:rFonts w:ascii="Helvetica" w:hAnsi="Helvetica"/>
          <w:b/>
          <w:bCs/>
          <w:color w:val="475156"/>
          <w:sz w:val="22"/>
          <w:szCs w:val="22"/>
          <w:u w:color="475156"/>
          <w:lang w:val="hu-HU"/>
        </w:rPr>
        <w:t>Yachthafen</w:t>
      </w:r>
      <w:proofErr w:type="spellEnd"/>
      <w:r w:rsidRPr="009B51ED">
        <w:rPr>
          <w:rFonts w:ascii="Helvetica" w:hAnsi="Helvetica"/>
          <w:b/>
          <w:bCs/>
          <w:color w:val="475156"/>
          <w:sz w:val="22"/>
          <w:szCs w:val="22"/>
          <w:u w:color="475156"/>
          <w:lang w:val="hu-HU"/>
        </w:rPr>
        <w:t xml:space="preserve"> Fertőrákos KFT általános szerződési feltételei</w:t>
      </w: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2"/>
          <w:szCs w:val="22"/>
          <w:u w:color="475156"/>
          <w:lang w:val="hu-HU"/>
        </w:rPr>
      </w:pPr>
      <w:proofErr w:type="spellStart"/>
      <w:r w:rsidRPr="009B51ED">
        <w:rPr>
          <w:rFonts w:ascii="Helvetica" w:hAnsi="Helvetica"/>
          <w:b/>
          <w:bCs/>
          <w:color w:val="475156"/>
          <w:sz w:val="22"/>
          <w:szCs w:val="22"/>
          <w:u w:color="475156"/>
          <w:lang w:val="hu-HU"/>
        </w:rPr>
        <w:t>Virágosmajor</w:t>
      </w:r>
      <w:proofErr w:type="spellEnd"/>
      <w:r w:rsidRPr="009B51ED">
        <w:rPr>
          <w:rFonts w:ascii="Helvetica" w:hAnsi="Helvetica"/>
          <w:b/>
          <w:bCs/>
          <w:color w:val="475156"/>
          <w:sz w:val="22"/>
          <w:szCs w:val="22"/>
          <w:u w:color="475156"/>
          <w:lang w:val="hu-HU"/>
        </w:rPr>
        <w:t>, 9421 Fertőrákos</w:t>
      </w: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2"/>
          <w:szCs w:val="22"/>
          <w:u w:color="475156"/>
          <w:lang w:val="hu-HU"/>
        </w:rPr>
      </w:pPr>
      <w:r w:rsidRPr="009B51ED">
        <w:rPr>
          <w:rFonts w:ascii="Helvetica" w:hAnsi="Helvetica"/>
          <w:b/>
          <w:bCs/>
          <w:color w:val="475156"/>
          <w:sz w:val="22"/>
          <w:szCs w:val="22"/>
          <w:u w:color="475156"/>
          <w:lang w:val="hu-HU"/>
        </w:rPr>
        <w:t> </w:t>
      </w: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2"/>
          <w:szCs w:val="22"/>
          <w:u w:color="475156"/>
          <w:lang w:val="hu-HU"/>
        </w:rPr>
      </w:pPr>
      <w:r w:rsidRPr="009B51ED">
        <w:rPr>
          <w:rFonts w:ascii="Helvetica" w:hAnsi="Helvetica"/>
          <w:b/>
          <w:bCs/>
          <w:color w:val="475156"/>
          <w:sz w:val="22"/>
          <w:szCs w:val="22"/>
          <w:u w:color="475156"/>
          <w:lang w:val="hu-HU"/>
        </w:rPr>
        <w:t> </w:t>
      </w: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Jelen Általános Szerződési Feltételek 2021. január 1-jétől visszavonásig érvényesek a vízi, a szárazföldi kikötőhelyekre és a téli kikötőhelyekre.</w:t>
      </w: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 </w:t>
      </w: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b/>
          <w:bCs/>
          <w:color w:val="475156"/>
          <w:sz w:val="20"/>
          <w:szCs w:val="20"/>
          <w:u w:color="475156"/>
          <w:lang w:val="hu-HU"/>
        </w:rPr>
        <w:t xml:space="preserve">1. cikk — </w:t>
      </w:r>
      <w:proofErr w:type="spellStart"/>
      <w:r w:rsidRPr="009B51ED">
        <w:rPr>
          <w:rFonts w:ascii="Helvetica" w:hAnsi="Helvetica"/>
          <w:b/>
          <w:bCs/>
          <w:color w:val="475156"/>
          <w:sz w:val="20"/>
          <w:szCs w:val="20"/>
          <w:u w:color="475156"/>
          <w:lang w:val="hu-HU"/>
        </w:rPr>
        <w:t>Fogalommeghatározások</w:t>
      </w:r>
      <w:proofErr w:type="spellEnd"/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 </w:t>
      </w: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A jelen Általános Szerződési Feltételekben meghatározott összegek tartalmazzák a törvényben előírt áfát, és euróban vannak feltüntetve. A következő </w:t>
      </w:r>
      <w:proofErr w:type="spellStart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fogalommeghatározások</w:t>
      </w:r>
      <w:proofErr w:type="spellEnd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vonatkoznak ezekre a szerződési feltételekre:</w:t>
      </w:r>
    </w:p>
    <w:p w:rsidR="007E0774" w:rsidRPr="009B51ED" w:rsidRDefault="00FE6F55">
      <w:pPr>
        <w:pStyle w:val="Standard"/>
        <w:numPr>
          <w:ilvl w:val="0"/>
          <w:numId w:val="2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i/>
          <w:iCs/>
          <w:color w:val="475156"/>
          <w:sz w:val="20"/>
          <w:szCs w:val="20"/>
          <w:u w:color="475156"/>
          <w:lang w:val="hu-HU"/>
        </w:rPr>
        <w:t>Vállalkozó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: Az a természetes vagy jogi személy, </w:t>
      </w:r>
      <w:proofErr w:type="gramStart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aki</w:t>
      </w:r>
      <w:proofErr w:type="gramEnd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vagy amely szerződést köt </w:t>
      </w:r>
      <w:proofErr w:type="spellStart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vízijármű</w:t>
      </w:r>
      <w:proofErr w:type="spellEnd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és/vagy vízi jármű részeinek vízi, szárazföldi és téli kikötőhely díj ellenében történő használatára. A következők érvényesek a lakókocsik parkolóhelyére is.</w:t>
      </w:r>
    </w:p>
    <w:p w:rsidR="007E0774" w:rsidRPr="009B51ED" w:rsidRDefault="00FE6F55">
      <w:pPr>
        <w:pStyle w:val="Standard"/>
        <w:numPr>
          <w:ilvl w:val="0"/>
          <w:numId w:val="2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i/>
          <w:iCs/>
          <w:color w:val="475156"/>
          <w:sz w:val="20"/>
          <w:szCs w:val="20"/>
          <w:u w:color="475156"/>
          <w:lang w:val="hu-HU"/>
        </w:rPr>
        <w:t>Fogyasztó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: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Olyan természetes személy, aki nem kereskedelmi vagy üzleti célból cselekszik, és aki szerződést köt </w:t>
      </w:r>
      <w:proofErr w:type="spellStart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vízijármű</w:t>
      </w:r>
      <w:proofErr w:type="spellEnd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és/vagy vízi jármű részei vagy lakókocsi vízi, szárazföldi és téli parkolóhelyének használatára.</w:t>
      </w:r>
    </w:p>
    <w:p w:rsidR="007E0774" w:rsidRPr="009B51ED" w:rsidRDefault="00FE6F55">
      <w:pPr>
        <w:pStyle w:val="Standard"/>
        <w:numPr>
          <w:ilvl w:val="0"/>
          <w:numId w:val="2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i/>
          <w:iCs/>
          <w:color w:val="475156"/>
          <w:sz w:val="20"/>
          <w:szCs w:val="20"/>
          <w:u w:color="475156"/>
          <w:lang w:val="hu-HU"/>
        </w:rPr>
        <w:t>Vízi jármű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: Olyan tárgy, amely a vízen van, és 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sporttevékenységek v</w:t>
      </w:r>
      <w:bookmarkStart w:id="0" w:name="_GoBack"/>
      <w:bookmarkEnd w:id="0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agy szabadidős tevékenységek céljából használják, beleértve a kapcsolódó felszereléseket és tartozékokat, valamint egy vízi jármű vagy építés alatt álló vízi jármű egy része.</w:t>
      </w:r>
    </w:p>
    <w:p w:rsidR="007E0774" w:rsidRPr="009B51ED" w:rsidRDefault="00FE6F55">
      <w:pPr>
        <w:pStyle w:val="Standard"/>
        <w:numPr>
          <w:ilvl w:val="0"/>
          <w:numId w:val="2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Vízi, szárazföldi és téli kikötőhely: A működtető által a fog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yasztó, vállalkozó vagy látogató rendelkezésére bocsátott kikötőhely a parton vagy a vízen, a vízi jármű és/vagy a vízi jármű részeinek elhelyezésére.</w:t>
      </w:r>
    </w:p>
    <w:p w:rsidR="007E0774" w:rsidRPr="009B51ED" w:rsidRDefault="00FE6F55">
      <w:pPr>
        <w:pStyle w:val="Standard"/>
        <w:numPr>
          <w:ilvl w:val="0"/>
          <w:numId w:val="2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i/>
          <w:iCs/>
          <w:color w:val="475156"/>
          <w:sz w:val="20"/>
          <w:szCs w:val="20"/>
          <w:u w:color="475156"/>
          <w:lang w:val="hu-HU"/>
        </w:rPr>
        <w:t>Kikötőhelyek használója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: Egy harmadik fél, aki bérleti szerződést köt a vállalkozóval egy kikötőhelyre vonatkozóan. Ezt nem kell írásban rögzíteni, hanem elegendő, ha a vízi jármű, pótkocsi vagy gépjármű több mint három napig parkol.</w:t>
      </w:r>
    </w:p>
    <w:p w:rsidR="007E0774" w:rsidRPr="009B51ED" w:rsidRDefault="00FE6F55">
      <w:pPr>
        <w:pStyle w:val="Standard"/>
        <w:numPr>
          <w:ilvl w:val="0"/>
          <w:numId w:val="2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i/>
          <w:iCs/>
          <w:color w:val="475156"/>
          <w:sz w:val="20"/>
          <w:szCs w:val="20"/>
          <w:u w:color="475156"/>
          <w:lang w:val="hu-HU"/>
        </w:rPr>
        <w:t>Bérleti szerződés: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Az a szerződés, amellyel a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vállalkozó vállalja, hogy a fogyasztó vagy a kereskedelmi felhasználó számára díjazás ellenében kikötőhelyet vagy parkolóhelyet biztosít.</w:t>
      </w:r>
    </w:p>
    <w:p w:rsidR="007E0774" w:rsidRPr="009B51ED" w:rsidRDefault="00FE6F55">
      <w:pPr>
        <w:pStyle w:val="Standard"/>
        <w:numPr>
          <w:ilvl w:val="0"/>
          <w:numId w:val="2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i/>
          <w:iCs/>
          <w:color w:val="475156"/>
          <w:sz w:val="20"/>
          <w:szCs w:val="20"/>
          <w:u w:color="475156"/>
          <w:lang w:val="hu-HU"/>
        </w:rPr>
        <w:t>Elektronikus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: e-mailben vagy a weboldalon.</w:t>
      </w:r>
    </w:p>
    <w:p w:rsidR="007E0774" w:rsidRPr="009B51ED" w:rsidRDefault="00FE6F55">
      <w:pPr>
        <w:pStyle w:val="Standard"/>
        <w:numPr>
          <w:ilvl w:val="0"/>
          <w:numId w:val="2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i/>
          <w:iCs/>
          <w:color w:val="475156"/>
          <w:sz w:val="20"/>
          <w:szCs w:val="20"/>
          <w:u w:color="475156"/>
          <w:lang w:val="hu-HU"/>
        </w:rPr>
        <w:t>Látogató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: Olyan harmadik fél, aki nem szerződő fél, és meglátogatja a kikö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tői területet, vagy aki a vállalkozó egyik szerződő felét látogatja.</w:t>
      </w:r>
    </w:p>
    <w:p w:rsidR="007E0774" w:rsidRPr="009B51ED" w:rsidRDefault="00FE6F55">
      <w:pPr>
        <w:pStyle w:val="Standard"/>
        <w:numPr>
          <w:ilvl w:val="0"/>
          <w:numId w:val="2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i/>
          <w:iCs/>
          <w:color w:val="475156"/>
          <w:sz w:val="20"/>
          <w:szCs w:val="20"/>
          <w:u w:color="475156"/>
          <w:lang w:val="hu-HU"/>
        </w:rPr>
        <w:t>Nyári szezon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: A naptári év április 1-jétől október 31-ig tartó időszak.</w:t>
      </w:r>
    </w:p>
    <w:p w:rsidR="007E0774" w:rsidRPr="009B51ED" w:rsidRDefault="00FE6F55">
      <w:pPr>
        <w:pStyle w:val="Standard"/>
        <w:numPr>
          <w:ilvl w:val="0"/>
          <w:numId w:val="2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i/>
          <w:iCs/>
          <w:color w:val="475156"/>
          <w:sz w:val="20"/>
          <w:szCs w:val="20"/>
          <w:u w:color="475156"/>
          <w:lang w:val="hu-HU"/>
        </w:rPr>
        <w:t>Téli szezon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: A naptári év november 1-jétől a következő naptári év március 31-ig tartó időszak.</w:t>
      </w:r>
    </w:p>
    <w:p w:rsidR="007E0774" w:rsidRPr="009B51ED" w:rsidRDefault="00FE6F55">
      <w:pPr>
        <w:pStyle w:val="Standard"/>
        <w:numPr>
          <w:ilvl w:val="0"/>
          <w:numId w:val="2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i/>
          <w:iCs/>
          <w:color w:val="475156"/>
          <w:sz w:val="20"/>
          <w:szCs w:val="20"/>
          <w:u w:color="475156"/>
          <w:lang w:val="hu-HU"/>
        </w:rPr>
        <w:t>Téli kikötőhely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: Egy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fedett vagy fedetlen, szárazföldi vagy vízi kikötőhely a téli időszakban, amely a naptári év legalább november 1-jétől a következő naptári év március 31-ig tart.</w:t>
      </w:r>
    </w:p>
    <w:p w:rsidR="007E0774" w:rsidRPr="009B51ED" w:rsidRDefault="00FE6F55">
      <w:pPr>
        <w:pStyle w:val="Standard"/>
        <w:numPr>
          <w:ilvl w:val="0"/>
          <w:numId w:val="2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i/>
          <w:iCs/>
          <w:color w:val="475156"/>
          <w:sz w:val="20"/>
          <w:szCs w:val="20"/>
          <w:u w:color="475156"/>
          <w:lang w:val="hu-HU"/>
        </w:rPr>
        <w:t>Kikötői terület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: A kikötő és a hozzá kapcsolódó (parkoló) területek és épületek, vagyis a </w:t>
      </w:r>
      <w:proofErr w:type="spellStart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Yac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hthafen</w:t>
      </w:r>
      <w:proofErr w:type="spellEnd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Fertőrákos</w:t>
      </w:r>
      <w:r w:rsidRPr="009B51ED">
        <w:rPr>
          <w:rFonts w:ascii="Helvetica" w:hAnsi="Helvetica"/>
          <w:b/>
          <w:bCs/>
          <w:color w:val="475156"/>
          <w:sz w:val="20"/>
          <w:szCs w:val="20"/>
          <w:u w:color="475156"/>
          <w:lang w:val="hu-HU"/>
        </w:rPr>
        <w:t xml:space="preserve"> 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Kft. kompkikötő által kezelt valamennyi terület.</w:t>
      </w:r>
    </w:p>
    <w:p w:rsidR="007E0774" w:rsidRPr="009B51ED" w:rsidRDefault="00FE6F55">
      <w:pPr>
        <w:pStyle w:val="Standard"/>
        <w:numPr>
          <w:ilvl w:val="0"/>
          <w:numId w:val="2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i/>
          <w:iCs/>
          <w:color w:val="475156"/>
          <w:sz w:val="20"/>
          <w:szCs w:val="20"/>
          <w:u w:color="475156"/>
          <w:lang w:val="hu-HU"/>
        </w:rPr>
        <w:t>Kikötői előírások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: Házirend, amely a magatartást és a közrendet szabályozza.</w:t>
      </w:r>
    </w:p>
    <w:p w:rsidR="007E0774" w:rsidRPr="009B51ED" w:rsidRDefault="007E0774">
      <w:pPr>
        <w:pStyle w:val="Standard"/>
        <w:spacing w:before="0"/>
        <w:jc w:val="center"/>
        <w:rPr>
          <w:rFonts w:ascii="Helvetica" w:eastAsia="Helvetica" w:hAnsi="Helvetica" w:cs="Helvetica"/>
          <w:b/>
          <w:bCs/>
          <w:color w:val="475156"/>
          <w:sz w:val="20"/>
          <w:szCs w:val="20"/>
          <w:u w:color="475156"/>
          <w:lang w:val="hu-HU"/>
        </w:rPr>
      </w:pP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b/>
          <w:bCs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b/>
          <w:bCs/>
          <w:color w:val="475156"/>
          <w:sz w:val="20"/>
          <w:szCs w:val="20"/>
          <w:u w:color="475156"/>
          <w:lang w:val="hu-HU"/>
        </w:rPr>
        <w:t>2. Cikk — Alkalmazhatóság</w:t>
      </w:r>
    </w:p>
    <w:p w:rsidR="007E0774" w:rsidRPr="009B51ED" w:rsidRDefault="007E0774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Ezek a feltételek a vízi, szárazföldi és téli kikötőhelyekre vonatkoznak a vízi járművek és hasonló tárgyak tekintetében, még akkor is, ha a fogyasztóval nem kötöttek írásbeli szerződést. Minden olyan cselekvés, amely a (vízi) jármű vagy pótkocsi három nap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nál hosszabb időtartamra történő elhelyezésében nyilvánul meg, saját maga vagy harmadik fél által.</w:t>
      </w:r>
    </w:p>
    <w:p w:rsidR="007E0774" w:rsidRPr="009B51ED" w:rsidRDefault="00FE6F55">
      <w:pPr>
        <w:pStyle w:val="Standard"/>
        <w:spacing w:before="0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 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A bérleti szerződés tárgyát képezi a parkolóhely is, amely legfeljebb egy, a vízi </w:t>
      </w:r>
      <w:proofErr w:type="spellStart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járműhöz</w:t>
      </w:r>
      <w:proofErr w:type="spellEnd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tartozó autó parkolásához szükséges. A parkolás időtartama arra az időre korlátozódik, amikor a fogyasztó a kikötő területén tartózkodik, vagy vízi járművével a tó m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ellett utazik.</w:t>
      </w:r>
    </w:p>
    <w:p w:rsidR="007E0774" w:rsidRPr="009B51ED" w:rsidRDefault="00FE6F55">
      <w:pPr>
        <w:pStyle w:val="Standard"/>
        <w:spacing w:before="0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 </w:t>
      </w: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b/>
          <w:bCs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b/>
          <w:bCs/>
          <w:color w:val="475156"/>
          <w:sz w:val="20"/>
          <w:szCs w:val="20"/>
          <w:u w:color="475156"/>
          <w:lang w:val="hu-HU"/>
        </w:rPr>
        <w:t>3. cikk — SZERZŐDÉSI ÜTEMEZÉS</w:t>
      </w:r>
    </w:p>
    <w:p w:rsidR="007E0774" w:rsidRPr="009B51ED" w:rsidRDefault="007E0774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</w:p>
    <w:p w:rsidR="007E0774" w:rsidRPr="009B51ED" w:rsidRDefault="00FE6F55">
      <w:pPr>
        <w:pStyle w:val="Standard"/>
        <w:numPr>
          <w:ilvl w:val="0"/>
          <w:numId w:val="4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A szerződést azáltal valósul meg, hogy a fogyasztó hajóját vagy pótkocsiját rövid vagy hosszú távon a </w:t>
      </w:r>
      <w:proofErr w:type="spellStart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Yachthafen</w:t>
      </w:r>
      <w:proofErr w:type="spellEnd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Fertőrákos telephelyén helyezi el, illetve írásos szerződés megkötésével. Írásbeli szerződés me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gkötése esetén a fizetési kötelezettség akkor is érvényes, ha a kibérelt helyet nem használják.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szerződéseket lehetőleg írásban vagy elektronikus formában kell megkötni. A szerződéseket akkor is létrejöttnek és elfogadottnak kell tekinteni, ha azokat ele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ktronikus úton továbbították a </w:t>
      </w:r>
      <w:proofErr w:type="gramStart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felhasználónak</w:t>
      </w:r>
      <w:proofErr w:type="gramEnd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az adatainak nyilvánosságra hozatala és e-mail útján rögzített szóbeli megrendelése után, és 30 napon belül nem emelnek ellene kifogást.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lastRenderedPageBreak/>
        <w:t>Az ügyfél kivétel nélkül köteles azonnal bejelenteni a címváltozást, elle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nkező esetben az utolsó megadott cím minősül szállítási címnek, és minden kézbesítést automatikusan leadottnak és kézbesítettnek kell tekinteni. Ez magában foglalja mind a postacímet, mind az e-mail címet. Az e-mail cím tekintetében a bérlőnek gondoskodnia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kell arról, hogy az e-mailek is kézbesítésre kerüljenek, például megfelelő kézbesítési engedélyek segítségével.</w:t>
      </w:r>
    </w:p>
    <w:p w:rsidR="007E0774" w:rsidRPr="009B51ED" w:rsidRDefault="00FE6F55">
      <w:pPr>
        <w:pStyle w:val="Standard"/>
        <w:spacing w:before="0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 </w:t>
      </w: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b/>
          <w:bCs/>
          <w:color w:val="475156"/>
          <w:sz w:val="20"/>
          <w:szCs w:val="20"/>
          <w:u w:color="475156"/>
          <w:lang w:val="hu-HU"/>
        </w:rPr>
        <w:t>4. cikk — A BÉRLETI DÍJ MEGFIZETÉSÉRE VONATKOZÓ KÖTELEZETTSÉG</w:t>
      </w: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 </w:t>
      </w:r>
    </w:p>
    <w:p w:rsidR="007E0774" w:rsidRPr="009B51ED" w:rsidRDefault="00FE6F55">
      <w:pPr>
        <w:pStyle w:val="Standard"/>
        <w:numPr>
          <w:ilvl w:val="0"/>
          <w:numId w:val="5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szerződés megkötésekor automatikusan felmerül a fizetési kötelezettség az i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génybe vett kategóriának/szolgáltatásnak megfelelően.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fogyasztó akkor is köteles a teljes bérleti díj megfizetésére, ha nem használja a bérbe vett dolgot.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Ha egy vízi jármű a téli tárolási időszakot követően nem bocsátható vízre, kártérítést kell fizetni az igényelt területért, amely megfelel legalább az adott kategória (I - III. kategória) aktuális listaárának. A </w:t>
      </w:r>
      <w:proofErr w:type="spellStart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Yachthafen</w:t>
      </w:r>
      <w:proofErr w:type="spellEnd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Fertőrákos Kft. kikötő konkrétan 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ebben az esetben jogosult a szerződés alapján bérbe vett, de nem használt vízkikötőre, valamint a szárazföldön használt szárazföldi kikötőre. Nyáron a vízi díj a tarifa alapja a szárazföldi parkolóhelyeknek is.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br/>
        <w:t>Ez nem érinti a felmerült végrehajtási költsé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gek díjazását.</w:t>
      </w:r>
    </w:p>
    <w:p w:rsidR="007E0774" w:rsidRPr="009B51ED" w:rsidRDefault="00FE6F55">
      <w:pPr>
        <w:pStyle w:val="Standard"/>
        <w:spacing w:before="0"/>
        <w:rPr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 </w:t>
      </w: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b/>
          <w:bCs/>
          <w:color w:val="475156"/>
          <w:sz w:val="20"/>
          <w:szCs w:val="20"/>
          <w:u w:color="475156"/>
          <w:lang w:val="hu-HU"/>
        </w:rPr>
        <w:t>5. Cikk — FIZETÉSI FELTÉTELEK</w:t>
      </w: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 </w:t>
      </w:r>
    </w:p>
    <w:p w:rsidR="007E0774" w:rsidRPr="009B51ED" w:rsidRDefault="00FE6F55">
      <w:pPr>
        <w:pStyle w:val="Standard"/>
        <w:numPr>
          <w:ilvl w:val="0"/>
          <w:numId w:val="6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bérleti díj kifizetését a szerződésnek megfelelően vagy a számla kézhezvételétől számított öt munkanapon belül, de legkésőbb a megállapodás szerinti bérleti időszak kezdetéig az üzemeltető által meghatároz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ott bankszámlára történő átutalással vagy a kikötőparancsnokkal egyeztetve készpénzben kell teljesíteni.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A fizetési határidő lejárta után a fogyasztó késedelembe esik. A vállalkozó </w:t>
      </w:r>
      <w:proofErr w:type="gramStart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ezen</w:t>
      </w:r>
      <w:proofErr w:type="gramEnd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határidő lejárta után emlékeztetőt küld, és lehetőséget ad a fogyasztó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nak arra, hogy a fizetési emlékeztető kézhezvételétől számított tizennégy napon belül pótolja a fizetést. Ha a fizetés még nem történt meg a fizetési emlékeztetőben meghatározott határidő lejárta után, és a fogyasztó nem hivatkozhat vis maiorra, a vállalko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zó jogosult kamatot felszámítani a fizetési határidő lejárta utáni időszakra vonatkozóan. Ez a kamat megegyezik a törvényes kamatlábbal és a tartozás összegének évi 8 százalékával. Továbbá emlékeztetőnként 35 euró összegű emlékeztetői díjat számítunk fel.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Ha a fogyasztó a fizetési emlékeztető elküldése után továbbra is késedelemben áll a tartozás összegének megfizetésével, a vállalkozó jogosult emelni a (2) bekezdésben meghatározott összeget a beszedési költségekkel. Eljárási illetéktől eltérő költség az ös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szes olyan költség, amelyet a vállalkozó az ügyvédeknek, a végrehajtóknak és a vállalkozó által a tartozás behajtására kijelölt egyéb személyeknek fizet.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számlával kapcsolatos panaszokat ésszerű határidőn belül, legkésőbb a számla kézhezvételétől számíto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tt 5 napon belül kell benyújtani, lehetőleg írásos indokokkal.</w:t>
      </w:r>
    </w:p>
    <w:p w:rsidR="007E0774" w:rsidRPr="009B51ED" w:rsidRDefault="007E0774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b/>
          <w:bCs/>
          <w:color w:val="475156"/>
          <w:sz w:val="20"/>
          <w:szCs w:val="20"/>
          <w:u w:color="475156"/>
          <w:lang w:val="hu-HU"/>
        </w:rPr>
        <w:t>6. cikk — Korai felmondás</w:t>
      </w: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b/>
          <w:bCs/>
          <w:color w:val="475156"/>
          <w:sz w:val="20"/>
          <w:szCs w:val="20"/>
          <w:u w:color="475156"/>
          <w:lang w:val="hu-HU"/>
        </w:rPr>
        <w:t> </w:t>
      </w:r>
    </w:p>
    <w:p w:rsidR="007E0774" w:rsidRPr="009B51ED" w:rsidRDefault="00FE6F55">
      <w:pPr>
        <w:pStyle w:val="Standard"/>
        <w:numPr>
          <w:ilvl w:val="0"/>
          <w:numId w:val="7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A szerződés felmondása a lejárat alatt alapvetően csak akkor lehetséges, ha a fennmaradó, még nyitott időtartamra vonatkozó díjakat azonnal megfizetik. Alternatív megoldásként a felhasználónak lehetősége van arra, hogy a szerződést harmadik felhasználónak 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átadja, ha az még nem a </w:t>
      </w:r>
      <w:proofErr w:type="spellStart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Yachthafen</w:t>
      </w:r>
      <w:proofErr w:type="spellEnd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Fertőrákos ügyfele. A </w:t>
      </w:r>
      <w:proofErr w:type="spellStart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Yachthafen</w:t>
      </w:r>
      <w:proofErr w:type="spellEnd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Fertőrákos Kft. kikötőnek joga van szükség esetén megtagadni egy új, megnevezett felhasználót, amennyiben az kellően indokolt, minden esetben az eredeti felhasználó felel a szerződés megfe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lelő teljesítéséért és a hátralévő időtartamra történő fizetésért. Ha megállapodás születik a szerződés idő előtti felmondásáról, és a </w:t>
      </w:r>
      <w:proofErr w:type="spellStart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Yachthafen</w:t>
      </w:r>
      <w:proofErr w:type="spellEnd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Fertőrákos beleegyezik egy ilyen megállapodásba, akkor a </w:t>
      </w:r>
      <w:proofErr w:type="spellStart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Yachthafen</w:t>
      </w:r>
      <w:proofErr w:type="spellEnd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Fertőrákos jogosult minden esetben megdupl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ázni az 1 éves és az 5 éves szerződések közötti éves díj különbségét.</w:t>
      </w:r>
    </w:p>
    <w:p w:rsidR="007E0774" w:rsidRPr="009B51ED" w:rsidRDefault="00FE6F55">
      <w:pPr>
        <w:pStyle w:val="Standard"/>
        <w:spacing w:before="0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 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Az ilyen idő előtti felmondás vagy a szerződés átruházása írásban vagy e-mailben történik. Az idő előtti felmondások kivétel nélkül megengedettek február 15-ig a szezon kezdete előtt. </w:t>
      </w:r>
    </w:p>
    <w:p w:rsidR="007E0774" w:rsidRPr="009B51ED" w:rsidRDefault="007E0774">
      <w:pPr>
        <w:pStyle w:val="Standard"/>
        <w:spacing w:before="0"/>
        <w:jc w:val="center"/>
        <w:rPr>
          <w:rFonts w:ascii="Helvetica" w:eastAsia="Helvetica" w:hAnsi="Helvetica" w:cs="Helvetica"/>
          <w:b/>
          <w:bCs/>
          <w:color w:val="475156"/>
          <w:sz w:val="20"/>
          <w:szCs w:val="20"/>
          <w:u w:color="475156"/>
          <w:lang w:val="hu-HU"/>
        </w:rPr>
      </w:pP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b/>
          <w:bCs/>
          <w:color w:val="475156"/>
          <w:sz w:val="20"/>
          <w:szCs w:val="20"/>
          <w:u w:color="475156"/>
          <w:lang w:val="hu-HU"/>
        </w:rPr>
        <w:t>7. cikk — A BÉRLETI SZERZŐDÉS IDŐTARTAMA ÉS MEGHOSSZABBÍTÁSA</w:t>
      </w: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 </w:t>
      </w:r>
    </w:p>
    <w:p w:rsidR="007E0774" w:rsidRPr="009B51ED" w:rsidRDefault="00FE6F55">
      <w:pPr>
        <w:pStyle w:val="Standard"/>
        <w:numPr>
          <w:ilvl w:val="0"/>
          <w:numId w:val="8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bérleti szerződést általában egy vagy öt évszakra kötik.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bérleti szerződés egy évre, illetve a nyári vagy téli szezonra érvényes, a (3) bekezdés rendelkezéseire is figyelemmel hallgatólagosan meghosszabbodik ugyanezzel az időtartammal és a jelenleg érvényes árakon, ha a szerződést az egyik fél legalább három h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ónappal az új bérleti időszak kezdete előtt nem mondja fel írásban vagy e-mailben.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lastRenderedPageBreak/>
        <w:t>A vállalkozó a bérleti díjat legkésőbb három hónappal az új bérleti időszak kezdete előtt módosíthatja. Ebben az esetben a fogyasztó jogosult a bérleti szerződést a megfelel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ő értesítés kézhezvételétől számított tizenöt munkanapon belül megszüntetni. Ez utóbbi azonban nem alkalmazható, ha a bérleti díjat a vállalkozó megnövekedett költségei miatt kiigazítják, amelyek az adók, vámok és hasonló körülmények megváltozásából követk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eznek be, amelyek szintén érintik a fogyasztót.</w:t>
      </w:r>
    </w:p>
    <w:p w:rsidR="007E0774" w:rsidRPr="009B51ED" w:rsidRDefault="00FE6F55">
      <w:pPr>
        <w:pStyle w:val="Standard"/>
        <w:spacing w:before="0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 </w:t>
      </w: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b/>
          <w:bCs/>
          <w:color w:val="475156"/>
          <w:sz w:val="20"/>
          <w:szCs w:val="20"/>
          <w:u w:color="475156"/>
          <w:lang w:val="hu-HU"/>
        </w:rPr>
        <w:t>8. Cikk — ZÁLOGJOG ÉS ELADÁSI JOG</w:t>
      </w: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 </w:t>
      </w:r>
    </w:p>
    <w:p w:rsidR="007E0774" w:rsidRPr="009B51ED" w:rsidRDefault="00FE6F55">
      <w:pPr>
        <w:pStyle w:val="Standard"/>
        <w:numPr>
          <w:ilvl w:val="0"/>
          <w:numId w:val="9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vállalkozó jogosult a mulasztásban lévő fogyasztó vízi járművét megtartani mindaddig, amíg az utóbbi a késedelmi kamat, emlékeztető díjak, valamint az ügyvédi és bírósá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gi költségek mellett meg nem fizeti a tartozás teljes összegét. Ez magában foglalja az e zálogjogból eredő költségeket is.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proofErr w:type="gramStart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Ha a fogyasztó a tartozás összegének megfizetését még figyelmeztetés után is elmulasztja, és a hajó és az összes kapcsolódó anyag és 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tartozék értéke nem haladja meg a 10 000 eurót, akkor az üzemeltető jogosult a vízi járművet a bíróság előzetes beavatkozása nélkül értékesíteni, és azt elküldeni a vevőnek, ha a vállalkozó figyelmeztette a fogyasztót arra, hogy ajánlott levélben fizessen,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és a fogyasztó ezen ajánlott levél keltétől számított hat hónapon belül nem fizette be a tartozás összegét, vagy írásban visszautasította a követelést, és a vállalkozót a fent említett hat hónapos időszak lejárta</w:t>
      </w:r>
      <w:proofErr w:type="gramEnd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után ajánlott levélben ismét sürgette a fo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gyasztót, hogy öt és tíz munkanapon belül fizesse meg az esedékes összeget, és a fizetés ismét nem történik meg.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vállalkozó köteles az eladási bevételek és a fogyasztó által a fogyasztóval szemben fennálló összeg közötti lehetséges különbséget kifizetni.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Ha a vízi jármű a fogyasztó nevére van bejegyezve, értékesítés esetén a fogyasztó köteles segíteni e bejegyzés törlésében.</w:t>
      </w:r>
    </w:p>
    <w:p w:rsidR="007E0774" w:rsidRPr="009B51ED" w:rsidRDefault="007E0774">
      <w:pPr>
        <w:pStyle w:val="Standard"/>
        <w:spacing w:before="0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b/>
          <w:bCs/>
          <w:color w:val="475156"/>
          <w:sz w:val="20"/>
          <w:szCs w:val="20"/>
          <w:u w:color="475156"/>
          <w:lang w:val="hu-HU"/>
        </w:rPr>
        <w:t>9. cikk — A FOGYASZTÓ KÜLÖNLEGES JOGAI ÉS KÖTELEZETTSÉGEI</w:t>
      </w: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 </w:t>
      </w:r>
    </w:p>
    <w:p w:rsidR="007E0774" w:rsidRPr="009B51ED" w:rsidRDefault="00FE6F55">
      <w:pPr>
        <w:pStyle w:val="Standard"/>
        <w:numPr>
          <w:ilvl w:val="0"/>
          <w:numId w:val="10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fogyasztó köteles betartani a kikötői előírásokat és a bérleti tárgyra vonatkozó utasításokat, amelyeket a vállalkozó vagy az ő nevében adnak ki.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fogyasztó köteles a hajóját megfelelő karbantartási állapotban és a szabályozási követelményeknek megfelel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ően tartani.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Amennyiben a jelen Általános Szerződési Feltételek és a Kikötői Szabályzat szövege között bármilyen eltérés tapasztalható, a jelen Általános Szerződési Feltételek az irányadók.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fogyasztó a kikötő területén csak a vállalkozó beleegyezésével v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égezhet olyan munkát, amely nem tartozik a normál karbantartás körébe. Az előzetes értesítést követően a vállalkozónak lehetővé kell tennie harmadik felek számára, hogy a helyszínen végezzenek munkát, amennyiben ezek garanciális szolgáltatások, amelyeket a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szállító vagy az ő nevében nyújt, és csak akkor, ha ezek a munkák a Fertő-tó régió táj- és természetvédelmi követelményeinek keretei közé tartoznak. Harmadik felek minden egyéb munkájához a vállalkozó jóváhagyása szükséges. A munkát minden esetben úgy kel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l elvégezni, hogy se átmeneti, se tartós negatív környezeti hatások ne keletkezzenek. A felhalmozódott hulladékot szintén el kell szállítani és megfelelően ártalmatlanítani kell, és a nem szabad elhelyezni a helyszínen, még a helyszíni szeméttárolókban sem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A fogyasztó köteles szigorúan betartani a környezetvédelmi és természetvédelmi követelményeket. 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Különösen tilos a víz alatti hajótesten </w:t>
      </w:r>
      <w:proofErr w:type="spellStart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korróziógátló</w:t>
      </w:r>
      <w:proofErr w:type="spellEnd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munkát végezni.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A fogyasztó köteles felelősségbiztosítást kötni vízi járműveire és </w:t>
      </w:r>
      <w:proofErr w:type="gramStart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tartozékaira</w:t>
      </w:r>
      <w:proofErr w:type="gramEnd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arra az időszakra vonatkozóan, amikor a vízi-, a szárazföldi kikötőhelyet vagy a parkolóhelyet igénybe veszi. A vállalkozó jogosult megtekinteni a bérlő vonatkozó biztosítási k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ötvényét.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Ezenkívül a fogyasztónak ajánlott biztosítani vízi járművét és tartozékait a hajótest károsodása ellen. A kikötő üzemeltetője nem vállal felelősséget a hajó vagy a pótkocsi biztonságáért, sem szél- és időjárási károk, szabotázs vagy lopás miatt. 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Erre a kikötő üzemeltetője részéről nincs biztosítás.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hajón nyilvántartási számot, adattáblát vagy feliratot kell elhelyezni.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mólók és a kikötő területén a változtatások és kiegészítések nem megengedettek.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A fogyasztó nem használhat fűtőberendezéseket 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a fedélzeten a kikötőben. Ettől eltérve a kikötő üzemeltetője felár ellenében napi rendszerességgel megadható speciális engedélyeket adhat. Ezeket e-mailben kell kérni az </w:t>
      </w:r>
      <w:proofErr w:type="spellStart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info</w:t>
      </w:r>
      <w:proofErr w:type="spellEnd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@yachtkikoto-viragosmajor.hu címen keresztül a kívánt időtartamra, amely nem hala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dhatja meg az egy hetet. Feltétlenül meg kell várni a jóváhagyási e-mailt, majd annak kézhezvétele után előre be kell fizetni a fűtésért előírt összeget.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kikötési díj nem tartalmazza az idegenforgalmi adót. Ezt szükség esetén a fertőrákosi önkormányzatna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k kell kifizetni. Ehhez vegye fel a kapcsolatot a kikötőmesterrel.</w:t>
      </w:r>
    </w:p>
    <w:p w:rsidR="007E0774" w:rsidRPr="009B51ED" w:rsidRDefault="00FE6F55">
      <w:pPr>
        <w:pStyle w:val="Standard"/>
        <w:spacing w:before="0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 </w:t>
      </w: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b/>
          <w:bCs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b/>
          <w:bCs/>
          <w:color w:val="475156"/>
          <w:sz w:val="20"/>
          <w:szCs w:val="20"/>
          <w:u w:color="475156"/>
          <w:lang w:val="hu-HU"/>
        </w:rPr>
        <w:t>10. cikk — A VÁLLALKOZÓ KÜLÖNLEGES JOGAI ÉS KÖTELEZETTSÉGEI</w:t>
      </w:r>
    </w:p>
    <w:p w:rsidR="007E0774" w:rsidRPr="009B51ED" w:rsidRDefault="007E0774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</w:p>
    <w:p w:rsidR="007E0774" w:rsidRPr="009B51ED" w:rsidRDefault="00FE6F55">
      <w:pPr>
        <w:pStyle w:val="Standard"/>
        <w:numPr>
          <w:ilvl w:val="0"/>
          <w:numId w:val="11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bérbeadó köteles a stégeket használható állapotban tartani és a korhadt deszkákat folyamatosan megújítani.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lastRenderedPageBreak/>
        <w:t>Ha fennáll a károsodás veszélye vagy biztonsági kockázat lép fel, a bérbeadó jogosult a szükséges intézkedéseket a fogyasztó költségére megtenni. Veszély esetén a vállalkozó ezt előzetes értesítés nélkül is megteheti; minden más esetben csak akkor, ha a fo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gyasztó ésszerű határidőn belül nem válaszol az értesítésére.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vállalkozó jogosult bérbe adni a szabad kikötőhelyeket, feltéve, hogy ez semmilyen módon nem sérti a fogyasztó bérlői jogait.</w:t>
      </w:r>
    </w:p>
    <w:p w:rsidR="007E0774" w:rsidRPr="009B51ED" w:rsidRDefault="00FE6F55">
      <w:pPr>
        <w:pStyle w:val="Standard"/>
        <w:spacing w:before="0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 </w:t>
      </w: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b/>
          <w:bCs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b/>
          <w:bCs/>
          <w:color w:val="475156"/>
          <w:sz w:val="20"/>
          <w:szCs w:val="20"/>
          <w:u w:color="475156"/>
          <w:lang w:val="hu-HU"/>
        </w:rPr>
        <w:t>11. cikk — FELELŐSSÉG ÉS KOCKÁZAT</w:t>
      </w:r>
    </w:p>
    <w:p w:rsidR="007E0774" w:rsidRPr="009B51ED" w:rsidRDefault="007E0774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</w:p>
    <w:p w:rsidR="007E0774" w:rsidRPr="009B51ED" w:rsidRDefault="00FE6F55">
      <w:pPr>
        <w:pStyle w:val="Standard"/>
        <w:numPr>
          <w:ilvl w:val="0"/>
          <w:numId w:val="12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bérbeadó lehetőséget ad a f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ogyasztónak arra, hogy saját felelősségére elhelyezze </w:t>
      </w:r>
      <w:proofErr w:type="spellStart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vízijárműveit</w:t>
      </w:r>
      <w:proofErr w:type="spellEnd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és/vagy kapcsolódó tárgyait. A vállalkozó semmilyen módon nem felelős a fogyasztóval szemben a vízi járművek vagy más tárgyak károsodásáért. A bérbeadó nem vállal felelősséget a helyszínen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parkoló csónak, lakókocsi vagy </w:t>
      </w:r>
      <w:proofErr w:type="gramStart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felszerelés</w:t>
      </w:r>
      <w:proofErr w:type="gramEnd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vagy a hajó pótkocsi eltulajdonításáért sem. A pótkocsik, valamint az személygépjárművek és a hajók ezért rövid vagy hosszú távon saját felelősségre parkolnak a helyszínen.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vízi járművet, lakókocsit és pótkocsi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t a bérbeadó nem biztosítja; a fogyasztónak magának kell gondoskodnia a megfelelő biztosításról. Ha a fogyasztó nem biztosítja megfelelően a vízi járművet (tárolási) károk vagy lopások ellen, ez a fogyasztó kárára történik. A bérbeadó semmi esetben nem fel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el a hajók, pótkocsik vagy egyéb parkoló berendezések károsodásáért víz vagy szárazföldi területeken. A bérbeadó nem vállal felelősséget azokért a károkért sem, amelyeket a </w:t>
      </w:r>
      <w:proofErr w:type="spellStart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Yachthafen</w:t>
      </w:r>
      <w:proofErr w:type="spellEnd"/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 Fertőrákos alkalmazottai manipuláltak, kivéve, ha ezt szándékosan okoztá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k.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fogyasztó felelősséggel tartozik a bérbeadó felé minden olyan kárért, amelyet a szerződésszegés okoz, amely saját vagy családtagjainak, illetve alkalmazottainak vagy vendégeinek tulajdonítható.</w:t>
      </w:r>
    </w:p>
    <w:p w:rsidR="007E0774" w:rsidRPr="009B51ED" w:rsidRDefault="00FE6F55">
      <w:pPr>
        <w:pStyle w:val="Standard"/>
        <w:spacing w:before="0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 </w:t>
      </w: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b/>
          <w:bCs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b/>
          <w:bCs/>
          <w:color w:val="475156"/>
          <w:sz w:val="20"/>
          <w:szCs w:val="20"/>
          <w:u w:color="475156"/>
          <w:lang w:val="hu-HU"/>
        </w:rPr>
        <w:t>12. cikk — PANASZOK</w:t>
      </w:r>
    </w:p>
    <w:p w:rsidR="007E0774" w:rsidRPr="009B51ED" w:rsidRDefault="007E0774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</w:p>
    <w:p w:rsidR="007E0774" w:rsidRPr="009B51ED" w:rsidRDefault="00FE6F55">
      <w:pPr>
        <w:pStyle w:val="Standard"/>
        <w:numPr>
          <w:ilvl w:val="0"/>
          <w:numId w:val="1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szerződés teljesítésével kapcsol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atos panaszokat írásban vagy elektronikus úton kell a vállalkozó tudomására hozni, kellő tájékoztatással és magyarázattal, ésszerű időn belül, miután fogyasztó megállapította vagy meg tudta volna állapítani a panasz okát.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Ha a panaszt nem nyújtják be időbe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n, a fogyasztó elveszítheti e tekintetben fennálló jogait, kivéve, ha a határidő túllépésének jóhiszeműen a fogyasztóval szemben nem lehet helyt adni.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Ha világossá válik, hogy nem lehet a panaszt békés úton megoldani, azt vitának kell tekinteni.</w:t>
      </w:r>
    </w:p>
    <w:p w:rsidR="007E0774" w:rsidRPr="009B51ED" w:rsidRDefault="00FE6F55">
      <w:pPr>
        <w:pStyle w:val="Standard"/>
        <w:spacing w:before="0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 </w:t>
      </w:r>
    </w:p>
    <w:p w:rsidR="007E0774" w:rsidRPr="009B51ED" w:rsidRDefault="00FE6F55">
      <w:pPr>
        <w:pStyle w:val="Standard"/>
        <w:spacing w:before="0"/>
        <w:jc w:val="center"/>
        <w:rPr>
          <w:rFonts w:ascii="Helvetica" w:eastAsia="Helvetica" w:hAnsi="Helvetica" w:cs="Helvetica"/>
          <w:b/>
          <w:bCs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b/>
          <w:bCs/>
          <w:color w:val="475156"/>
          <w:sz w:val="20"/>
          <w:szCs w:val="20"/>
          <w:u w:color="475156"/>
          <w:lang w:val="hu-HU"/>
        </w:rPr>
        <w:t>13. CIKK — A téli kikötőhelyek különleges rendelkezései</w:t>
      </w:r>
    </w:p>
    <w:p w:rsidR="007E0774" w:rsidRPr="009B51ED" w:rsidRDefault="007E0774">
      <w:pPr>
        <w:pStyle w:val="Standard"/>
        <w:spacing w:before="0"/>
        <w:jc w:val="center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</w:p>
    <w:p w:rsidR="007E0774" w:rsidRPr="009B51ED" w:rsidRDefault="00FE6F55">
      <w:pPr>
        <w:pStyle w:val="Standard"/>
        <w:numPr>
          <w:ilvl w:val="0"/>
          <w:numId w:val="14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Hacsak nem foglaltak téli csomagot, a téli kikötőhelyeket legkésőbb április 10-ig szabadon kell hagyni. Ha ez nem történik meg a vonatkozó mentesség előzetes írásbeli jóváhagyása nélkül, naptári napo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nként öt eurós kötbér fizetendő. Szükség esetén a bérbeadónak joga van áthelyezni a hajót, és további 75,00 EUR manipulációs díjra jogosult.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A kikötő üzemeltetője által szükségessé vált új helymeghatározás általában a hajótulajdonos vagy a bérlő felelősség</w:t>
      </w: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i körébe tartozik.</w:t>
      </w:r>
    </w:p>
    <w:p w:rsidR="007E0774" w:rsidRPr="009B51ED" w:rsidRDefault="00FE6F55">
      <w:pPr>
        <w:pStyle w:val="Standard"/>
        <w:numPr>
          <w:ilvl w:val="0"/>
          <w:numId w:val="3"/>
        </w:numPr>
        <w:spacing w:before="0"/>
        <w:rPr>
          <w:rFonts w:ascii="Helvetica" w:hAnsi="Helvetica"/>
          <w:color w:val="475156"/>
          <w:sz w:val="20"/>
          <w:szCs w:val="20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 xml:space="preserve">A vízi járművek utánfutóinak jó műszaki állapotban kell lenniük, és alkalmasnak kell lenniük a vízi járművekhez. Ha ez nem így van, akkor a fogyasztót terhelik a javítási költségek, hacsak nem tudja saját maga javítani. </w:t>
      </w:r>
    </w:p>
    <w:p w:rsidR="007E0774" w:rsidRPr="009B51ED" w:rsidRDefault="00FE6F55">
      <w:pPr>
        <w:pStyle w:val="Standard"/>
        <w:spacing w:before="0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 </w:t>
      </w:r>
    </w:p>
    <w:p w:rsidR="007E0774" w:rsidRPr="009B51ED" w:rsidRDefault="00FE6F55">
      <w:pPr>
        <w:pStyle w:val="Standard"/>
        <w:spacing w:before="0"/>
        <w:rPr>
          <w:rFonts w:ascii="Helvetica" w:eastAsia="Helvetica" w:hAnsi="Helvetica" w:cs="Helvetica"/>
          <w:color w:val="475156"/>
          <w:sz w:val="20"/>
          <w:szCs w:val="20"/>
          <w:u w:color="475156"/>
          <w:lang w:val="hu-HU"/>
        </w:rPr>
      </w:pPr>
      <w:r w:rsidRPr="009B51ED">
        <w:rPr>
          <w:rFonts w:ascii="Helvetica" w:hAnsi="Helvetica"/>
          <w:color w:val="475156"/>
          <w:sz w:val="20"/>
          <w:szCs w:val="20"/>
          <w:u w:color="475156"/>
          <w:lang w:val="hu-HU"/>
        </w:rPr>
        <w:t> </w:t>
      </w:r>
    </w:p>
    <w:p w:rsidR="007E0774" w:rsidRPr="009B51ED" w:rsidRDefault="00FE6F55">
      <w:pPr>
        <w:pStyle w:val="Standard"/>
        <w:spacing w:before="0"/>
        <w:jc w:val="center"/>
        <w:rPr>
          <w:lang w:val="hu-HU"/>
        </w:rPr>
      </w:pPr>
      <w:r w:rsidRPr="009B51ED">
        <w:rPr>
          <w:rFonts w:ascii="Helvetica" w:hAnsi="Helvetica"/>
          <w:b/>
          <w:bCs/>
          <w:color w:val="475156"/>
          <w:sz w:val="20"/>
          <w:szCs w:val="20"/>
          <w:u w:color="475156"/>
          <w:lang w:val="hu-HU"/>
        </w:rPr>
        <w:t xml:space="preserve">Fertőrákos, </w:t>
      </w:r>
      <w:r w:rsidRPr="009B51ED">
        <w:rPr>
          <w:rFonts w:ascii="Helvetica" w:hAnsi="Helvetica"/>
          <w:b/>
          <w:bCs/>
          <w:color w:val="475156"/>
          <w:sz w:val="20"/>
          <w:szCs w:val="20"/>
          <w:u w:color="475156"/>
          <w:lang w:val="hu-HU"/>
        </w:rPr>
        <w:t>2021. január 1.</w:t>
      </w:r>
    </w:p>
    <w:sectPr w:rsidR="007E0774" w:rsidRPr="009B51E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55" w:rsidRDefault="00FE6F55">
      <w:r>
        <w:separator/>
      </w:r>
    </w:p>
  </w:endnote>
  <w:endnote w:type="continuationSeparator" w:id="0">
    <w:p w:rsidR="00FE6F55" w:rsidRDefault="00FE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774" w:rsidRDefault="007E0774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55" w:rsidRDefault="00FE6F55">
      <w:r>
        <w:separator/>
      </w:r>
    </w:p>
  </w:footnote>
  <w:footnote w:type="continuationSeparator" w:id="0">
    <w:p w:rsidR="00FE6F55" w:rsidRDefault="00FE6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774" w:rsidRDefault="007E0774">
    <w:pPr>
      <w:pStyle w:val="Kopf-undFuzeilen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3D5E"/>
    <w:multiLevelType w:val="hybridMultilevel"/>
    <w:tmpl w:val="1A2C7312"/>
    <w:numStyleLink w:val="Nummeriert"/>
  </w:abstractNum>
  <w:abstractNum w:abstractNumId="1">
    <w:nsid w:val="11301061"/>
    <w:multiLevelType w:val="hybridMultilevel"/>
    <w:tmpl w:val="1A2C7312"/>
    <w:styleLink w:val="Nummeriert"/>
    <w:lvl w:ilvl="0" w:tplc="FA400612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465155"/>
        <w:spacing w:val="0"/>
        <w:w w:val="100"/>
        <w:kern w:val="0"/>
        <w:position w:val="0"/>
        <w:highlight w:val="none"/>
        <w:vertAlign w:val="baseline"/>
      </w:rPr>
    </w:lvl>
    <w:lvl w:ilvl="1" w:tplc="5D5CF94C">
      <w:start w:val="1"/>
      <w:numFmt w:val="decimal"/>
      <w:lvlText w:val="%2."/>
      <w:lvlJc w:val="left"/>
      <w:pPr>
        <w:ind w:left="718" w:hanging="278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465155"/>
        <w:spacing w:val="0"/>
        <w:w w:val="100"/>
        <w:kern w:val="0"/>
        <w:position w:val="0"/>
        <w:highlight w:val="none"/>
        <w:vertAlign w:val="baseline"/>
      </w:rPr>
    </w:lvl>
    <w:lvl w:ilvl="2" w:tplc="72E67292">
      <w:start w:val="1"/>
      <w:numFmt w:val="decimal"/>
      <w:lvlText w:val="%3."/>
      <w:lvlJc w:val="left"/>
      <w:pPr>
        <w:ind w:left="938" w:hanging="278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465155"/>
        <w:spacing w:val="0"/>
        <w:w w:val="100"/>
        <w:kern w:val="0"/>
        <w:position w:val="0"/>
        <w:highlight w:val="none"/>
        <w:vertAlign w:val="baseline"/>
      </w:rPr>
    </w:lvl>
    <w:lvl w:ilvl="3" w:tplc="E33CF780">
      <w:start w:val="1"/>
      <w:numFmt w:val="decimal"/>
      <w:lvlText w:val="%4."/>
      <w:lvlJc w:val="left"/>
      <w:pPr>
        <w:ind w:left="1158" w:hanging="278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465155"/>
        <w:spacing w:val="0"/>
        <w:w w:val="100"/>
        <w:kern w:val="0"/>
        <w:position w:val="0"/>
        <w:highlight w:val="none"/>
        <w:vertAlign w:val="baseline"/>
      </w:rPr>
    </w:lvl>
    <w:lvl w:ilvl="4" w:tplc="B2B0C02A">
      <w:start w:val="1"/>
      <w:numFmt w:val="decimal"/>
      <w:lvlText w:val="%5."/>
      <w:lvlJc w:val="left"/>
      <w:pPr>
        <w:ind w:left="1378" w:hanging="278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465155"/>
        <w:spacing w:val="0"/>
        <w:w w:val="100"/>
        <w:kern w:val="0"/>
        <w:position w:val="0"/>
        <w:highlight w:val="none"/>
        <w:vertAlign w:val="baseline"/>
      </w:rPr>
    </w:lvl>
    <w:lvl w:ilvl="5" w:tplc="C13EF6D4">
      <w:start w:val="1"/>
      <w:numFmt w:val="decimal"/>
      <w:lvlText w:val="%6."/>
      <w:lvlJc w:val="left"/>
      <w:pPr>
        <w:ind w:left="1598" w:hanging="278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465155"/>
        <w:spacing w:val="0"/>
        <w:w w:val="100"/>
        <w:kern w:val="0"/>
        <w:position w:val="0"/>
        <w:highlight w:val="none"/>
        <w:vertAlign w:val="baseline"/>
      </w:rPr>
    </w:lvl>
    <w:lvl w:ilvl="6" w:tplc="B2645E14">
      <w:start w:val="1"/>
      <w:numFmt w:val="decimal"/>
      <w:lvlText w:val="%7."/>
      <w:lvlJc w:val="left"/>
      <w:pPr>
        <w:ind w:left="1818" w:hanging="278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465155"/>
        <w:spacing w:val="0"/>
        <w:w w:val="100"/>
        <w:kern w:val="0"/>
        <w:position w:val="0"/>
        <w:highlight w:val="none"/>
        <w:vertAlign w:val="baseline"/>
      </w:rPr>
    </w:lvl>
    <w:lvl w:ilvl="7" w:tplc="9E5E0F54">
      <w:start w:val="1"/>
      <w:numFmt w:val="decimal"/>
      <w:lvlText w:val="%8."/>
      <w:lvlJc w:val="left"/>
      <w:pPr>
        <w:ind w:left="2038" w:hanging="278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465155"/>
        <w:spacing w:val="0"/>
        <w:w w:val="100"/>
        <w:kern w:val="0"/>
        <w:position w:val="0"/>
        <w:highlight w:val="none"/>
        <w:vertAlign w:val="baseline"/>
      </w:rPr>
    </w:lvl>
    <w:lvl w:ilvl="8" w:tplc="8CF4F844">
      <w:start w:val="1"/>
      <w:numFmt w:val="decimal"/>
      <w:lvlText w:val="%9."/>
      <w:lvlJc w:val="left"/>
      <w:pPr>
        <w:ind w:left="2258" w:hanging="278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465155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 w:tplc="4F70D82E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C26B26">
        <w:start w:val="1"/>
        <w:numFmt w:val="decimal"/>
        <w:lvlText w:val="%2."/>
        <w:lvlJc w:val="left"/>
        <w:pPr>
          <w:ind w:left="7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88055A">
        <w:start w:val="1"/>
        <w:numFmt w:val="decimal"/>
        <w:lvlText w:val="%3."/>
        <w:lvlJc w:val="left"/>
        <w:pPr>
          <w:ind w:left="9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50BB64">
        <w:start w:val="1"/>
        <w:numFmt w:val="decimal"/>
        <w:lvlText w:val="%4."/>
        <w:lvlJc w:val="left"/>
        <w:pPr>
          <w:ind w:left="11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267C74">
        <w:start w:val="1"/>
        <w:numFmt w:val="decimal"/>
        <w:lvlText w:val="%5."/>
        <w:lvlJc w:val="left"/>
        <w:pPr>
          <w:ind w:left="137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C28B38">
        <w:start w:val="1"/>
        <w:numFmt w:val="decimal"/>
        <w:lvlText w:val="%6."/>
        <w:lvlJc w:val="left"/>
        <w:pPr>
          <w:ind w:left="159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F4D9B6">
        <w:start w:val="1"/>
        <w:numFmt w:val="decimal"/>
        <w:lvlText w:val="%7."/>
        <w:lvlJc w:val="left"/>
        <w:pPr>
          <w:ind w:left="18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A18CD62">
        <w:start w:val="1"/>
        <w:numFmt w:val="decimal"/>
        <w:lvlText w:val="%8."/>
        <w:lvlJc w:val="left"/>
        <w:pPr>
          <w:ind w:left="20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3861BE">
        <w:start w:val="1"/>
        <w:numFmt w:val="decimal"/>
        <w:lvlText w:val="%9."/>
        <w:lvlJc w:val="left"/>
        <w:pPr>
          <w:ind w:left="22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 w:tplc="4F70D82E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C26B26">
        <w:start w:val="1"/>
        <w:numFmt w:val="decimal"/>
        <w:lvlText w:val="%2."/>
        <w:lvlJc w:val="left"/>
        <w:pPr>
          <w:ind w:left="7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88055A">
        <w:start w:val="1"/>
        <w:numFmt w:val="decimal"/>
        <w:lvlText w:val="%3."/>
        <w:lvlJc w:val="left"/>
        <w:pPr>
          <w:ind w:left="9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50BB64">
        <w:start w:val="1"/>
        <w:numFmt w:val="decimal"/>
        <w:lvlText w:val="%4."/>
        <w:lvlJc w:val="left"/>
        <w:pPr>
          <w:ind w:left="11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267C74">
        <w:start w:val="1"/>
        <w:numFmt w:val="decimal"/>
        <w:lvlText w:val="%5."/>
        <w:lvlJc w:val="left"/>
        <w:pPr>
          <w:ind w:left="137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C28B38">
        <w:start w:val="1"/>
        <w:numFmt w:val="decimal"/>
        <w:lvlText w:val="%6."/>
        <w:lvlJc w:val="left"/>
        <w:pPr>
          <w:ind w:left="159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F4D9B6">
        <w:start w:val="1"/>
        <w:numFmt w:val="decimal"/>
        <w:lvlText w:val="%7."/>
        <w:lvlJc w:val="left"/>
        <w:pPr>
          <w:ind w:left="18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A18CD62">
        <w:start w:val="1"/>
        <w:numFmt w:val="decimal"/>
        <w:lvlText w:val="%8."/>
        <w:lvlJc w:val="left"/>
        <w:pPr>
          <w:ind w:left="20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3861BE">
        <w:start w:val="1"/>
        <w:numFmt w:val="decimal"/>
        <w:lvlText w:val="%9."/>
        <w:lvlJc w:val="left"/>
        <w:pPr>
          <w:ind w:left="22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 w:tplc="4F70D82E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C26B26">
        <w:start w:val="1"/>
        <w:numFmt w:val="decimal"/>
        <w:lvlText w:val="%2."/>
        <w:lvlJc w:val="left"/>
        <w:pPr>
          <w:ind w:left="7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88055A">
        <w:start w:val="1"/>
        <w:numFmt w:val="decimal"/>
        <w:lvlText w:val="%3."/>
        <w:lvlJc w:val="left"/>
        <w:pPr>
          <w:ind w:left="9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50BB64">
        <w:start w:val="1"/>
        <w:numFmt w:val="decimal"/>
        <w:lvlText w:val="%4."/>
        <w:lvlJc w:val="left"/>
        <w:pPr>
          <w:ind w:left="11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267C74">
        <w:start w:val="1"/>
        <w:numFmt w:val="decimal"/>
        <w:lvlText w:val="%5."/>
        <w:lvlJc w:val="left"/>
        <w:pPr>
          <w:ind w:left="137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C28B38">
        <w:start w:val="1"/>
        <w:numFmt w:val="decimal"/>
        <w:lvlText w:val="%6."/>
        <w:lvlJc w:val="left"/>
        <w:pPr>
          <w:ind w:left="159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F4D9B6">
        <w:start w:val="1"/>
        <w:numFmt w:val="decimal"/>
        <w:lvlText w:val="%7."/>
        <w:lvlJc w:val="left"/>
        <w:pPr>
          <w:ind w:left="18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A18CD62">
        <w:start w:val="1"/>
        <w:numFmt w:val="decimal"/>
        <w:lvlText w:val="%8."/>
        <w:lvlJc w:val="left"/>
        <w:pPr>
          <w:ind w:left="20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3861BE">
        <w:start w:val="1"/>
        <w:numFmt w:val="decimal"/>
        <w:lvlText w:val="%9."/>
        <w:lvlJc w:val="left"/>
        <w:pPr>
          <w:ind w:left="22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 w:tplc="4F70D82E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C26B26">
        <w:start w:val="1"/>
        <w:numFmt w:val="decimal"/>
        <w:lvlText w:val="%2."/>
        <w:lvlJc w:val="left"/>
        <w:pPr>
          <w:ind w:left="7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88055A">
        <w:start w:val="1"/>
        <w:numFmt w:val="decimal"/>
        <w:lvlText w:val="%3."/>
        <w:lvlJc w:val="left"/>
        <w:pPr>
          <w:ind w:left="9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50BB64">
        <w:start w:val="1"/>
        <w:numFmt w:val="decimal"/>
        <w:lvlText w:val="%4."/>
        <w:lvlJc w:val="left"/>
        <w:pPr>
          <w:ind w:left="11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267C74">
        <w:start w:val="1"/>
        <w:numFmt w:val="decimal"/>
        <w:lvlText w:val="%5."/>
        <w:lvlJc w:val="left"/>
        <w:pPr>
          <w:ind w:left="137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C28B38">
        <w:start w:val="1"/>
        <w:numFmt w:val="decimal"/>
        <w:lvlText w:val="%6."/>
        <w:lvlJc w:val="left"/>
        <w:pPr>
          <w:ind w:left="159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F4D9B6">
        <w:start w:val="1"/>
        <w:numFmt w:val="decimal"/>
        <w:lvlText w:val="%7."/>
        <w:lvlJc w:val="left"/>
        <w:pPr>
          <w:ind w:left="18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A18CD62">
        <w:start w:val="1"/>
        <w:numFmt w:val="decimal"/>
        <w:lvlText w:val="%8."/>
        <w:lvlJc w:val="left"/>
        <w:pPr>
          <w:ind w:left="20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3861BE">
        <w:start w:val="1"/>
        <w:numFmt w:val="decimal"/>
        <w:lvlText w:val="%9."/>
        <w:lvlJc w:val="left"/>
        <w:pPr>
          <w:ind w:left="22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  <w:lvl w:ilvl="0" w:tplc="4F70D82E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C26B26">
        <w:start w:val="1"/>
        <w:numFmt w:val="decimal"/>
        <w:lvlText w:val="%2."/>
        <w:lvlJc w:val="left"/>
        <w:pPr>
          <w:ind w:left="7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88055A">
        <w:start w:val="1"/>
        <w:numFmt w:val="decimal"/>
        <w:lvlText w:val="%3."/>
        <w:lvlJc w:val="left"/>
        <w:pPr>
          <w:ind w:left="9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50BB64">
        <w:start w:val="1"/>
        <w:numFmt w:val="decimal"/>
        <w:lvlText w:val="%4."/>
        <w:lvlJc w:val="left"/>
        <w:pPr>
          <w:ind w:left="11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267C74">
        <w:start w:val="1"/>
        <w:numFmt w:val="decimal"/>
        <w:lvlText w:val="%5."/>
        <w:lvlJc w:val="left"/>
        <w:pPr>
          <w:ind w:left="137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C28B38">
        <w:start w:val="1"/>
        <w:numFmt w:val="decimal"/>
        <w:lvlText w:val="%6."/>
        <w:lvlJc w:val="left"/>
        <w:pPr>
          <w:ind w:left="159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F4D9B6">
        <w:start w:val="1"/>
        <w:numFmt w:val="decimal"/>
        <w:lvlText w:val="%7."/>
        <w:lvlJc w:val="left"/>
        <w:pPr>
          <w:ind w:left="18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A18CD62">
        <w:start w:val="1"/>
        <w:numFmt w:val="decimal"/>
        <w:lvlText w:val="%8."/>
        <w:lvlJc w:val="left"/>
        <w:pPr>
          <w:ind w:left="20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3861BE">
        <w:start w:val="1"/>
        <w:numFmt w:val="decimal"/>
        <w:lvlText w:val="%9."/>
        <w:lvlJc w:val="left"/>
        <w:pPr>
          <w:ind w:left="22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 w:tplc="4F70D82E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C26B26">
        <w:start w:val="1"/>
        <w:numFmt w:val="decimal"/>
        <w:lvlText w:val="%2."/>
        <w:lvlJc w:val="left"/>
        <w:pPr>
          <w:ind w:left="7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88055A">
        <w:start w:val="1"/>
        <w:numFmt w:val="decimal"/>
        <w:lvlText w:val="%3."/>
        <w:lvlJc w:val="left"/>
        <w:pPr>
          <w:ind w:left="9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50BB64">
        <w:start w:val="1"/>
        <w:numFmt w:val="decimal"/>
        <w:lvlText w:val="%4."/>
        <w:lvlJc w:val="left"/>
        <w:pPr>
          <w:ind w:left="11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267C74">
        <w:start w:val="1"/>
        <w:numFmt w:val="decimal"/>
        <w:lvlText w:val="%5."/>
        <w:lvlJc w:val="left"/>
        <w:pPr>
          <w:ind w:left="137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C28B38">
        <w:start w:val="1"/>
        <w:numFmt w:val="decimal"/>
        <w:lvlText w:val="%6."/>
        <w:lvlJc w:val="left"/>
        <w:pPr>
          <w:ind w:left="159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F4D9B6">
        <w:start w:val="1"/>
        <w:numFmt w:val="decimal"/>
        <w:lvlText w:val="%7."/>
        <w:lvlJc w:val="left"/>
        <w:pPr>
          <w:ind w:left="18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A18CD62">
        <w:start w:val="1"/>
        <w:numFmt w:val="decimal"/>
        <w:lvlText w:val="%8."/>
        <w:lvlJc w:val="left"/>
        <w:pPr>
          <w:ind w:left="20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3861BE">
        <w:start w:val="1"/>
        <w:numFmt w:val="decimal"/>
        <w:lvlText w:val="%9."/>
        <w:lvlJc w:val="left"/>
        <w:pPr>
          <w:ind w:left="22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"/>
      <w:lvl w:ilvl="0" w:tplc="4F70D82E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C26B26">
        <w:start w:val="1"/>
        <w:numFmt w:val="decimal"/>
        <w:lvlText w:val="%2."/>
        <w:lvlJc w:val="left"/>
        <w:pPr>
          <w:ind w:left="7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88055A">
        <w:start w:val="1"/>
        <w:numFmt w:val="decimal"/>
        <w:lvlText w:val="%3."/>
        <w:lvlJc w:val="left"/>
        <w:pPr>
          <w:ind w:left="9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50BB64">
        <w:start w:val="1"/>
        <w:numFmt w:val="decimal"/>
        <w:lvlText w:val="%4."/>
        <w:lvlJc w:val="left"/>
        <w:pPr>
          <w:ind w:left="11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267C74">
        <w:start w:val="1"/>
        <w:numFmt w:val="decimal"/>
        <w:lvlText w:val="%5."/>
        <w:lvlJc w:val="left"/>
        <w:pPr>
          <w:ind w:left="137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C28B38">
        <w:start w:val="1"/>
        <w:numFmt w:val="decimal"/>
        <w:lvlText w:val="%6."/>
        <w:lvlJc w:val="left"/>
        <w:pPr>
          <w:ind w:left="159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F4D9B6">
        <w:start w:val="1"/>
        <w:numFmt w:val="decimal"/>
        <w:lvlText w:val="%7."/>
        <w:lvlJc w:val="left"/>
        <w:pPr>
          <w:ind w:left="18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A18CD62">
        <w:start w:val="1"/>
        <w:numFmt w:val="decimal"/>
        <w:lvlText w:val="%8."/>
        <w:lvlJc w:val="left"/>
        <w:pPr>
          <w:ind w:left="20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3861BE">
        <w:start w:val="1"/>
        <w:numFmt w:val="decimal"/>
        <w:lvlText w:val="%9."/>
        <w:lvlJc w:val="left"/>
        <w:pPr>
          <w:ind w:left="22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1"/>
      <w:lvl w:ilvl="0" w:tplc="4F70D82E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C26B26">
        <w:start w:val="1"/>
        <w:numFmt w:val="decimal"/>
        <w:lvlText w:val="%2."/>
        <w:lvlJc w:val="left"/>
        <w:pPr>
          <w:ind w:left="7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88055A">
        <w:start w:val="1"/>
        <w:numFmt w:val="decimal"/>
        <w:lvlText w:val="%3."/>
        <w:lvlJc w:val="left"/>
        <w:pPr>
          <w:ind w:left="9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50BB64">
        <w:start w:val="1"/>
        <w:numFmt w:val="decimal"/>
        <w:lvlText w:val="%4."/>
        <w:lvlJc w:val="left"/>
        <w:pPr>
          <w:ind w:left="11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267C74">
        <w:start w:val="1"/>
        <w:numFmt w:val="decimal"/>
        <w:lvlText w:val="%5."/>
        <w:lvlJc w:val="left"/>
        <w:pPr>
          <w:ind w:left="137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C28B38">
        <w:start w:val="1"/>
        <w:numFmt w:val="decimal"/>
        <w:lvlText w:val="%6."/>
        <w:lvlJc w:val="left"/>
        <w:pPr>
          <w:ind w:left="159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F4D9B6">
        <w:start w:val="1"/>
        <w:numFmt w:val="decimal"/>
        <w:lvlText w:val="%7."/>
        <w:lvlJc w:val="left"/>
        <w:pPr>
          <w:ind w:left="18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A18CD62">
        <w:start w:val="1"/>
        <w:numFmt w:val="decimal"/>
        <w:lvlText w:val="%8."/>
        <w:lvlJc w:val="left"/>
        <w:pPr>
          <w:ind w:left="20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3861BE">
        <w:start w:val="1"/>
        <w:numFmt w:val="decimal"/>
        <w:lvlText w:val="%9."/>
        <w:lvlJc w:val="left"/>
        <w:pPr>
          <w:ind w:left="22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"/>
      <w:lvl w:ilvl="0" w:tplc="4F70D82E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C26B26">
        <w:start w:val="1"/>
        <w:numFmt w:val="decimal"/>
        <w:lvlText w:val="%2."/>
        <w:lvlJc w:val="left"/>
        <w:pPr>
          <w:ind w:left="7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88055A">
        <w:start w:val="1"/>
        <w:numFmt w:val="decimal"/>
        <w:lvlText w:val="%3."/>
        <w:lvlJc w:val="left"/>
        <w:pPr>
          <w:ind w:left="9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50BB64">
        <w:start w:val="1"/>
        <w:numFmt w:val="decimal"/>
        <w:lvlText w:val="%4."/>
        <w:lvlJc w:val="left"/>
        <w:pPr>
          <w:ind w:left="11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267C74">
        <w:start w:val="1"/>
        <w:numFmt w:val="decimal"/>
        <w:lvlText w:val="%5."/>
        <w:lvlJc w:val="left"/>
        <w:pPr>
          <w:ind w:left="137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C28B38">
        <w:start w:val="1"/>
        <w:numFmt w:val="decimal"/>
        <w:lvlText w:val="%6."/>
        <w:lvlJc w:val="left"/>
        <w:pPr>
          <w:ind w:left="159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F4D9B6">
        <w:start w:val="1"/>
        <w:numFmt w:val="decimal"/>
        <w:lvlText w:val="%7."/>
        <w:lvlJc w:val="left"/>
        <w:pPr>
          <w:ind w:left="18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A18CD62">
        <w:start w:val="1"/>
        <w:numFmt w:val="decimal"/>
        <w:lvlText w:val="%8."/>
        <w:lvlJc w:val="left"/>
        <w:pPr>
          <w:ind w:left="20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3861BE">
        <w:start w:val="1"/>
        <w:numFmt w:val="decimal"/>
        <w:lvlText w:val="%9."/>
        <w:lvlJc w:val="left"/>
        <w:pPr>
          <w:ind w:left="22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4F70D82E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C26B26">
        <w:start w:val="1"/>
        <w:numFmt w:val="decimal"/>
        <w:lvlText w:val="%2."/>
        <w:lvlJc w:val="left"/>
        <w:pPr>
          <w:ind w:left="7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88055A">
        <w:start w:val="1"/>
        <w:numFmt w:val="decimal"/>
        <w:lvlText w:val="%3."/>
        <w:lvlJc w:val="left"/>
        <w:pPr>
          <w:ind w:left="9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50BB64">
        <w:start w:val="1"/>
        <w:numFmt w:val="decimal"/>
        <w:lvlText w:val="%4."/>
        <w:lvlJc w:val="left"/>
        <w:pPr>
          <w:ind w:left="11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267C74">
        <w:start w:val="1"/>
        <w:numFmt w:val="decimal"/>
        <w:lvlText w:val="%5."/>
        <w:lvlJc w:val="left"/>
        <w:pPr>
          <w:ind w:left="137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C28B38">
        <w:start w:val="1"/>
        <w:numFmt w:val="decimal"/>
        <w:lvlText w:val="%6."/>
        <w:lvlJc w:val="left"/>
        <w:pPr>
          <w:ind w:left="159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F4D9B6">
        <w:start w:val="1"/>
        <w:numFmt w:val="decimal"/>
        <w:lvlText w:val="%7."/>
        <w:lvlJc w:val="left"/>
        <w:pPr>
          <w:ind w:left="18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A18CD62">
        <w:start w:val="1"/>
        <w:numFmt w:val="decimal"/>
        <w:lvlText w:val="%8."/>
        <w:lvlJc w:val="left"/>
        <w:pPr>
          <w:ind w:left="20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3861BE">
        <w:start w:val="1"/>
        <w:numFmt w:val="decimal"/>
        <w:lvlText w:val="%9."/>
        <w:lvlJc w:val="left"/>
        <w:pPr>
          <w:ind w:left="22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1"/>
      <w:lvl w:ilvl="0" w:tplc="4F70D82E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C26B26">
        <w:start w:val="1"/>
        <w:numFmt w:val="decimal"/>
        <w:lvlText w:val="%2."/>
        <w:lvlJc w:val="left"/>
        <w:pPr>
          <w:ind w:left="7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88055A">
        <w:start w:val="1"/>
        <w:numFmt w:val="decimal"/>
        <w:lvlText w:val="%3."/>
        <w:lvlJc w:val="left"/>
        <w:pPr>
          <w:ind w:left="9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50BB64">
        <w:start w:val="1"/>
        <w:numFmt w:val="decimal"/>
        <w:lvlText w:val="%4."/>
        <w:lvlJc w:val="left"/>
        <w:pPr>
          <w:ind w:left="11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267C74">
        <w:start w:val="1"/>
        <w:numFmt w:val="decimal"/>
        <w:lvlText w:val="%5."/>
        <w:lvlJc w:val="left"/>
        <w:pPr>
          <w:ind w:left="137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C28B38">
        <w:start w:val="1"/>
        <w:numFmt w:val="decimal"/>
        <w:lvlText w:val="%6."/>
        <w:lvlJc w:val="left"/>
        <w:pPr>
          <w:ind w:left="159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F4D9B6">
        <w:start w:val="1"/>
        <w:numFmt w:val="decimal"/>
        <w:lvlText w:val="%7."/>
        <w:lvlJc w:val="left"/>
        <w:pPr>
          <w:ind w:left="18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A18CD62">
        <w:start w:val="1"/>
        <w:numFmt w:val="decimal"/>
        <w:lvlText w:val="%8."/>
        <w:lvlJc w:val="left"/>
        <w:pPr>
          <w:ind w:left="20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3861BE">
        <w:start w:val="1"/>
        <w:numFmt w:val="decimal"/>
        <w:lvlText w:val="%9."/>
        <w:lvlJc w:val="left"/>
        <w:pPr>
          <w:ind w:left="22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4F70D82E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C26B26">
        <w:start w:val="1"/>
        <w:numFmt w:val="decimal"/>
        <w:lvlText w:val="%2."/>
        <w:lvlJc w:val="left"/>
        <w:pPr>
          <w:ind w:left="7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88055A">
        <w:start w:val="1"/>
        <w:numFmt w:val="decimal"/>
        <w:lvlText w:val="%3."/>
        <w:lvlJc w:val="left"/>
        <w:pPr>
          <w:ind w:left="9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50BB64">
        <w:start w:val="1"/>
        <w:numFmt w:val="decimal"/>
        <w:lvlText w:val="%4."/>
        <w:lvlJc w:val="left"/>
        <w:pPr>
          <w:ind w:left="11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267C74">
        <w:start w:val="1"/>
        <w:numFmt w:val="decimal"/>
        <w:lvlText w:val="%5."/>
        <w:lvlJc w:val="left"/>
        <w:pPr>
          <w:ind w:left="137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C28B38">
        <w:start w:val="1"/>
        <w:numFmt w:val="decimal"/>
        <w:lvlText w:val="%6."/>
        <w:lvlJc w:val="left"/>
        <w:pPr>
          <w:ind w:left="159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F4D9B6">
        <w:start w:val="1"/>
        <w:numFmt w:val="decimal"/>
        <w:lvlText w:val="%7."/>
        <w:lvlJc w:val="left"/>
        <w:pPr>
          <w:ind w:left="18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A18CD62">
        <w:start w:val="1"/>
        <w:numFmt w:val="decimal"/>
        <w:lvlText w:val="%8."/>
        <w:lvlJc w:val="left"/>
        <w:pPr>
          <w:ind w:left="20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3861BE">
        <w:start w:val="1"/>
        <w:numFmt w:val="decimal"/>
        <w:lvlText w:val="%9."/>
        <w:lvlJc w:val="left"/>
        <w:pPr>
          <w:ind w:left="22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65155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74"/>
    <w:rsid w:val="00176077"/>
    <w:rsid w:val="007E0774"/>
    <w:rsid w:val="009B51ED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D5897-8AE1-4D41-90A8-FAF9121B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meriert">
    <w:name w:val="Nummerier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2057</Words>
  <Characters>14194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</cp:lastModifiedBy>
  <cp:revision>2</cp:revision>
  <dcterms:created xsi:type="dcterms:W3CDTF">2021-03-01T15:36:00Z</dcterms:created>
  <dcterms:modified xsi:type="dcterms:W3CDTF">2021-03-01T15:49:00Z</dcterms:modified>
</cp:coreProperties>
</file>